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F7E40" w14:textId="786BC2CB" w:rsidR="006D7D9D" w:rsidRDefault="000E1F66" w:rsidP="006D7D9D">
      <w:r>
        <w:rPr>
          <w:rFonts w:ascii="Book Antiqua" w:hAnsi="Book Antiqua"/>
          <w:noProof/>
          <w:sz w:val="22"/>
          <w:szCs w:val="22"/>
        </w:rPr>
        <w:drawing>
          <wp:anchor distT="0" distB="0" distL="114300" distR="114300" simplePos="0" relativeHeight="251658240" behindDoc="1" locked="0" layoutInCell="1" allowOverlap="1" wp14:anchorId="7E197AB7" wp14:editId="3285BF49">
            <wp:simplePos x="0" y="0"/>
            <wp:positionH relativeFrom="column">
              <wp:posOffset>533400</wp:posOffset>
            </wp:positionH>
            <wp:positionV relativeFrom="paragraph">
              <wp:posOffset>-180975</wp:posOffset>
            </wp:positionV>
            <wp:extent cx="2419350" cy="647700"/>
            <wp:effectExtent l="19050" t="0" r="0" b="0"/>
            <wp:wrapNone/>
            <wp:docPr id="3" name="Picture 2" descr="Frontier_color_lo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ontier_color_long.jpg"/>
                    <pic:cNvPicPr/>
                  </pic:nvPicPr>
                  <pic:blipFill>
                    <a:blip r:embed="rId7" cstate="print"/>
                    <a:stretch>
                      <a:fillRect/>
                    </a:stretch>
                  </pic:blipFill>
                  <pic:spPr>
                    <a:xfrm>
                      <a:off x="0" y="0"/>
                      <a:ext cx="2419350" cy="647700"/>
                    </a:xfrm>
                    <a:prstGeom prst="rect">
                      <a:avLst/>
                    </a:prstGeom>
                  </pic:spPr>
                </pic:pic>
              </a:graphicData>
            </a:graphic>
          </wp:anchor>
        </w:drawing>
      </w:r>
      <w:r w:rsidR="006B4E4D">
        <w:rPr>
          <w:rFonts w:ascii="Book Antiqua" w:hAnsi="Book Antiqua"/>
          <w:noProof/>
          <w:sz w:val="22"/>
          <w:szCs w:val="22"/>
          <w:lang w:eastAsia="zh-TW"/>
        </w:rPr>
        <mc:AlternateContent>
          <mc:Choice Requires="wps">
            <w:drawing>
              <wp:anchor distT="0" distB="0" distL="114300" distR="114300" simplePos="0" relativeHeight="251660288" behindDoc="0" locked="0" layoutInCell="1" allowOverlap="1" wp14:anchorId="50081049" wp14:editId="35D646ED">
                <wp:simplePos x="0" y="0"/>
                <wp:positionH relativeFrom="column">
                  <wp:posOffset>3188335</wp:posOffset>
                </wp:positionH>
                <wp:positionV relativeFrom="paragraph">
                  <wp:posOffset>-57150</wp:posOffset>
                </wp:positionV>
                <wp:extent cx="2377440" cy="588645"/>
                <wp:effectExtent l="0" t="0" r="0" b="19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5886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1EA063" w14:textId="77777777" w:rsidR="000E1F66" w:rsidRPr="00250754" w:rsidRDefault="000E1F66" w:rsidP="000E1F66">
                            <w:pPr>
                              <w:jc w:val="center"/>
                              <w:rPr>
                                <w:rFonts w:ascii="Book Antiqua" w:hAnsi="Book Antiqua"/>
                                <w:i/>
                                <w:sz w:val="12"/>
                                <w:szCs w:val="12"/>
                              </w:rPr>
                            </w:pPr>
                            <w:r w:rsidRPr="00250754">
                              <w:rPr>
                                <w:rFonts w:ascii="Book Antiqua" w:hAnsi="Book Antiqua"/>
                                <w:i/>
                                <w:sz w:val="12"/>
                                <w:szCs w:val="12"/>
                              </w:rPr>
                              <w:t>*Community Services for Persons with Developmental Disabilities</w:t>
                            </w:r>
                          </w:p>
                          <w:p w14:paraId="26FBF5A5" w14:textId="77777777" w:rsidR="000E1F66" w:rsidRPr="00250754" w:rsidRDefault="000E1F66" w:rsidP="000E1F66">
                            <w:pPr>
                              <w:jc w:val="center"/>
                              <w:rPr>
                                <w:rFonts w:ascii="Book Antiqua" w:hAnsi="Book Antiqua"/>
                                <w:i/>
                                <w:sz w:val="12"/>
                                <w:szCs w:val="12"/>
                              </w:rPr>
                            </w:pPr>
                            <w:r w:rsidRPr="00250754">
                              <w:rPr>
                                <w:rFonts w:ascii="Book Antiqua" w:hAnsi="Book Antiqua"/>
                                <w:i/>
                                <w:sz w:val="12"/>
                                <w:szCs w:val="12"/>
                              </w:rPr>
                              <w:t xml:space="preserve"> </w:t>
                            </w:r>
                            <w:r>
                              <w:rPr>
                                <w:rFonts w:ascii="Book Antiqua" w:hAnsi="Book Antiqua"/>
                                <w:i/>
                                <w:sz w:val="12"/>
                                <w:szCs w:val="12"/>
                              </w:rPr>
                              <w:t xml:space="preserve"> </w:t>
                            </w:r>
                            <w:r w:rsidRPr="00250754">
                              <w:rPr>
                                <w:rFonts w:ascii="Book Antiqua" w:hAnsi="Book Antiqua"/>
                                <w:i/>
                                <w:sz w:val="12"/>
                                <w:szCs w:val="12"/>
                              </w:rPr>
                              <w:t xml:space="preserve"> *Passport Services to the Elderly *Community Services to Veterans </w:t>
                            </w:r>
                          </w:p>
                          <w:p w14:paraId="2B0B8233" w14:textId="77777777" w:rsidR="000E1F66" w:rsidRDefault="000E1F66" w:rsidP="000E1F66">
                            <w:pPr>
                              <w:pBdr>
                                <w:bottom w:val="single" w:sz="4" w:space="1" w:color="auto"/>
                              </w:pBdr>
                              <w:rPr>
                                <w:rFonts w:ascii="Book Antiqua" w:hAnsi="Book Antiqua"/>
                                <w:i/>
                                <w:sz w:val="12"/>
                                <w:szCs w:val="12"/>
                              </w:rPr>
                            </w:pPr>
                            <w:r>
                              <w:rPr>
                                <w:rFonts w:ascii="Book Antiqua" w:hAnsi="Book Antiqua"/>
                                <w:sz w:val="12"/>
                                <w:szCs w:val="12"/>
                              </w:rPr>
                              <w:t xml:space="preserve">     </w:t>
                            </w:r>
                            <w:r w:rsidRPr="00250754">
                              <w:rPr>
                                <w:rFonts w:ascii="Book Antiqua" w:hAnsi="Book Antiqua"/>
                                <w:sz w:val="12"/>
                                <w:szCs w:val="12"/>
                              </w:rPr>
                              <w:t>*</w:t>
                            </w:r>
                            <w:r>
                              <w:rPr>
                                <w:rFonts w:ascii="Book Antiqua" w:hAnsi="Book Antiqua"/>
                                <w:i/>
                                <w:sz w:val="12"/>
                                <w:szCs w:val="12"/>
                              </w:rPr>
                              <w:t>Multi-</w:t>
                            </w:r>
                            <w:r w:rsidRPr="00250754">
                              <w:rPr>
                                <w:rFonts w:ascii="Book Antiqua" w:hAnsi="Book Antiqua"/>
                                <w:i/>
                                <w:sz w:val="12"/>
                                <w:szCs w:val="12"/>
                              </w:rPr>
                              <w:t>Family Affordable Housing Development</w:t>
                            </w:r>
                          </w:p>
                          <w:p w14:paraId="738EAE66" w14:textId="77777777" w:rsidR="000E1F66" w:rsidRPr="00250754" w:rsidRDefault="000E1F66" w:rsidP="000E1F66">
                            <w:pPr>
                              <w:jc w:val="center"/>
                              <w:rPr>
                                <w:rFonts w:ascii="Book Antiqua" w:hAnsi="Book Antiqua"/>
                                <w:sz w:val="12"/>
                                <w:szCs w:val="12"/>
                              </w:rPr>
                            </w:pPr>
                            <w:r w:rsidRPr="00250754">
                              <w:rPr>
                                <w:rFonts w:ascii="Book Antiqua" w:hAnsi="Book Antiqua"/>
                                <w:sz w:val="12"/>
                                <w:szCs w:val="12"/>
                              </w:rPr>
                              <w:t>12125 Pleasant Valley Rd * Chillicothe, OH 45601-9785</w:t>
                            </w:r>
                          </w:p>
                          <w:p w14:paraId="43C57105" w14:textId="77777777" w:rsidR="000E1F66" w:rsidRPr="00250754" w:rsidRDefault="000E1F66" w:rsidP="000E1F66">
                            <w:pPr>
                              <w:jc w:val="center"/>
                              <w:rPr>
                                <w:rFonts w:ascii="Book Antiqua" w:hAnsi="Book Antiqua"/>
                                <w:sz w:val="12"/>
                                <w:szCs w:val="12"/>
                              </w:rPr>
                            </w:pPr>
                            <w:r w:rsidRPr="00250754">
                              <w:rPr>
                                <w:rFonts w:ascii="Book Antiqua" w:hAnsi="Book Antiqua"/>
                                <w:sz w:val="12"/>
                                <w:szCs w:val="12"/>
                              </w:rPr>
                              <w:t>Telephone 740.772.1396 *Fax 740.772.1394</w:t>
                            </w:r>
                          </w:p>
                          <w:p w14:paraId="088DB14D" w14:textId="77777777" w:rsidR="000E1F66" w:rsidRDefault="000E1F66" w:rsidP="000E1F66"/>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w14:anchorId="50081049" id="_x0000_t202" coordsize="21600,21600" o:spt="202" path="m,l,21600r21600,l21600,xe">
                <v:stroke joinstyle="miter"/>
                <v:path gradientshapeok="t" o:connecttype="rect"/>
              </v:shapetype>
              <v:shape id="Text Box 2" o:spid="_x0000_s1026" type="#_x0000_t202" style="position:absolute;margin-left:251.05pt;margin-top:-4.5pt;width:187.2pt;height:46.35pt;z-index:25166028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" stroked="f">
                <v:textbox>
                  <w:txbxContent>
                    <w:p w14:paraId="791EA063" w14:textId="77777777" w:rsidR="000E1F66" w:rsidRPr="00250754" w:rsidRDefault="000E1F66" w:rsidP="000E1F66">
                      <w:pPr>
                        <w:jc w:val="center"/>
                        <w:rPr>
                          <w:rFonts w:ascii="Book Antiqua" w:hAnsi="Book Antiqua"/>
                          <w:i/>
                          <w:sz w:val="12"/>
                          <w:szCs w:val="12"/>
                        </w:rPr>
                      </w:pPr>
                      <w:r w:rsidRPr="00250754">
                        <w:rPr>
                          <w:rFonts w:ascii="Book Antiqua" w:hAnsi="Book Antiqua"/>
                          <w:i/>
                          <w:sz w:val="12"/>
                          <w:szCs w:val="12"/>
                        </w:rPr>
                        <w:t>*Community Services for Persons with Developmental Disabilities</w:t>
                      </w:r>
                    </w:p>
                    <w:p w14:paraId="26FBF5A5" w14:textId="77777777" w:rsidR="000E1F66" w:rsidRPr="00250754" w:rsidRDefault="000E1F66" w:rsidP="000E1F66">
                      <w:pPr>
                        <w:jc w:val="center"/>
                        <w:rPr>
                          <w:rFonts w:ascii="Book Antiqua" w:hAnsi="Book Antiqua"/>
                          <w:i/>
                          <w:sz w:val="12"/>
                          <w:szCs w:val="12"/>
                        </w:rPr>
                      </w:pPr>
                      <w:r w:rsidRPr="00250754">
                        <w:rPr>
                          <w:rFonts w:ascii="Book Antiqua" w:hAnsi="Book Antiqua"/>
                          <w:i/>
                          <w:sz w:val="12"/>
                          <w:szCs w:val="12"/>
                        </w:rPr>
                        <w:t xml:space="preserve"> </w:t>
                      </w:r>
                      <w:r>
                        <w:rPr>
                          <w:rFonts w:ascii="Book Antiqua" w:hAnsi="Book Antiqua"/>
                          <w:i/>
                          <w:sz w:val="12"/>
                          <w:szCs w:val="12"/>
                        </w:rPr>
                        <w:t xml:space="preserve"> </w:t>
                      </w:r>
                      <w:r w:rsidRPr="00250754">
                        <w:rPr>
                          <w:rFonts w:ascii="Book Antiqua" w:hAnsi="Book Antiqua"/>
                          <w:i/>
                          <w:sz w:val="12"/>
                          <w:szCs w:val="12"/>
                        </w:rPr>
                        <w:t xml:space="preserve"> *Passport Services to the Elderly *Community Services to Veterans </w:t>
                      </w:r>
                    </w:p>
                    <w:p w14:paraId="2B0B8233" w14:textId="77777777" w:rsidR="000E1F66" w:rsidRDefault="000E1F66" w:rsidP="000E1F66">
                      <w:pPr>
                        <w:pBdr>
                          <w:bottom w:val="single" w:sz="4" w:space="1" w:color="auto"/>
                        </w:pBdr>
                        <w:rPr>
                          <w:rFonts w:ascii="Book Antiqua" w:hAnsi="Book Antiqua"/>
                          <w:i/>
                          <w:sz w:val="12"/>
                          <w:szCs w:val="12"/>
                        </w:rPr>
                      </w:pPr>
                      <w:r>
                        <w:rPr>
                          <w:rFonts w:ascii="Book Antiqua" w:hAnsi="Book Antiqua"/>
                          <w:sz w:val="12"/>
                          <w:szCs w:val="12"/>
                        </w:rPr>
                        <w:t xml:space="preserve">     </w:t>
                      </w:r>
                      <w:r w:rsidRPr="00250754">
                        <w:rPr>
                          <w:rFonts w:ascii="Book Antiqua" w:hAnsi="Book Antiqua"/>
                          <w:sz w:val="12"/>
                          <w:szCs w:val="12"/>
                        </w:rPr>
                        <w:t>*</w:t>
                      </w:r>
                      <w:r>
                        <w:rPr>
                          <w:rFonts w:ascii="Book Antiqua" w:hAnsi="Book Antiqua"/>
                          <w:i/>
                          <w:sz w:val="12"/>
                          <w:szCs w:val="12"/>
                        </w:rPr>
                        <w:t>Multi-</w:t>
                      </w:r>
                      <w:r w:rsidRPr="00250754">
                        <w:rPr>
                          <w:rFonts w:ascii="Book Antiqua" w:hAnsi="Book Antiqua"/>
                          <w:i/>
                          <w:sz w:val="12"/>
                          <w:szCs w:val="12"/>
                        </w:rPr>
                        <w:t>Family Affordable Housing Development</w:t>
                      </w:r>
                    </w:p>
                    <w:p w14:paraId="738EAE66" w14:textId="77777777" w:rsidR="000E1F66" w:rsidRPr="00250754" w:rsidRDefault="000E1F66" w:rsidP="000E1F66">
                      <w:pPr>
                        <w:jc w:val="center"/>
                        <w:rPr>
                          <w:rFonts w:ascii="Book Antiqua" w:hAnsi="Book Antiqua"/>
                          <w:sz w:val="12"/>
                          <w:szCs w:val="12"/>
                        </w:rPr>
                      </w:pPr>
                      <w:r w:rsidRPr="00250754">
                        <w:rPr>
                          <w:rFonts w:ascii="Book Antiqua" w:hAnsi="Book Antiqua"/>
                          <w:sz w:val="12"/>
                          <w:szCs w:val="12"/>
                        </w:rPr>
                        <w:t>12125 Pleasant Valley Rd * Chillicothe, OH 45601-9785</w:t>
                      </w:r>
                    </w:p>
                    <w:p w14:paraId="43C57105" w14:textId="77777777" w:rsidR="000E1F66" w:rsidRPr="00250754" w:rsidRDefault="000E1F66" w:rsidP="000E1F66">
                      <w:pPr>
                        <w:jc w:val="center"/>
                        <w:rPr>
                          <w:rFonts w:ascii="Book Antiqua" w:hAnsi="Book Antiqua"/>
                          <w:sz w:val="12"/>
                          <w:szCs w:val="12"/>
                        </w:rPr>
                      </w:pPr>
                      <w:r w:rsidRPr="00250754">
                        <w:rPr>
                          <w:rFonts w:ascii="Book Antiqua" w:hAnsi="Book Antiqua"/>
                          <w:sz w:val="12"/>
                          <w:szCs w:val="12"/>
                        </w:rPr>
                        <w:t>Telephone 740.772.1396 *Fax 740.772.1394</w:t>
                      </w:r>
                    </w:p>
                    <w:p w14:paraId="088DB14D" w14:textId="77777777" w:rsidR="000E1F66" w:rsidRDefault="000E1F66" w:rsidP="000E1F66"/>
                  </w:txbxContent>
                </v:textbox>
              </v:shape>
            </w:pict>
          </mc:Fallback>
        </mc:AlternateContent>
      </w:r>
    </w:p>
    <w:p w14:paraId="035B2BB4" w14:textId="77777777" w:rsidR="00002F5F" w:rsidRDefault="00002F5F" w:rsidP="000E1F66">
      <w:pPr>
        <w:pBdr>
          <w:bottom w:val="single" w:sz="4" w:space="1" w:color="auto"/>
        </w:pBdr>
      </w:pPr>
    </w:p>
    <w:p w14:paraId="5BA852AF" w14:textId="77777777" w:rsidR="00002F5F" w:rsidRDefault="00002F5F" w:rsidP="000E1F66">
      <w:pPr>
        <w:pBdr>
          <w:bottom w:val="single" w:sz="4" w:space="1" w:color="auto"/>
        </w:pBdr>
      </w:pPr>
    </w:p>
    <w:p w14:paraId="41439AF1" w14:textId="77777777" w:rsidR="00B145A5" w:rsidRDefault="00B145A5" w:rsidP="00B145A5">
      <w:pPr>
        <w:jc w:val="both"/>
        <w:rPr>
          <w:rFonts w:ascii="Book Antiqua" w:hAnsi="Book Antiqua"/>
          <w:sz w:val="22"/>
          <w:szCs w:val="22"/>
        </w:rPr>
      </w:pPr>
    </w:p>
    <w:p w14:paraId="172B0249" w14:textId="0C695DE4" w:rsidR="00B145A5" w:rsidRPr="003714A8" w:rsidRDefault="00B145A5" w:rsidP="00B145A5">
      <w:pPr>
        <w:jc w:val="both"/>
        <w:rPr>
          <w:rFonts w:ascii="Century Gothic" w:hAnsi="Century Gothic"/>
          <w:sz w:val="20"/>
          <w:szCs w:val="20"/>
        </w:rPr>
      </w:pPr>
      <w:r>
        <w:rPr>
          <w:rFonts w:ascii="Century Gothic" w:hAnsi="Century Gothic"/>
          <w:sz w:val="20"/>
          <w:szCs w:val="20"/>
        </w:rPr>
        <w:t>7</w:t>
      </w:r>
      <w:r w:rsidRPr="003714A8">
        <w:rPr>
          <w:rFonts w:ascii="Century Gothic" w:hAnsi="Century Gothic"/>
          <w:sz w:val="20"/>
          <w:szCs w:val="20"/>
        </w:rPr>
        <w:t>/</w:t>
      </w:r>
      <w:r>
        <w:rPr>
          <w:rFonts w:ascii="Century Gothic" w:hAnsi="Century Gothic"/>
          <w:sz w:val="20"/>
          <w:szCs w:val="20"/>
        </w:rPr>
        <w:t>28</w:t>
      </w:r>
      <w:r w:rsidRPr="003714A8">
        <w:rPr>
          <w:rFonts w:ascii="Century Gothic" w:hAnsi="Century Gothic"/>
          <w:sz w:val="20"/>
          <w:szCs w:val="20"/>
        </w:rPr>
        <w:t>/202</w:t>
      </w:r>
      <w:r>
        <w:rPr>
          <w:rFonts w:ascii="Century Gothic" w:hAnsi="Century Gothic"/>
          <w:sz w:val="20"/>
          <w:szCs w:val="20"/>
        </w:rPr>
        <w:t>5</w:t>
      </w:r>
    </w:p>
    <w:p w14:paraId="68036CE7" w14:textId="77777777" w:rsidR="00B145A5" w:rsidRPr="003714A8" w:rsidRDefault="00B145A5" w:rsidP="00B145A5">
      <w:pPr>
        <w:jc w:val="both"/>
        <w:rPr>
          <w:rFonts w:ascii="Century Gothic" w:hAnsi="Century Gothic"/>
          <w:sz w:val="20"/>
          <w:szCs w:val="20"/>
        </w:rPr>
      </w:pPr>
    </w:p>
    <w:p w14:paraId="6675D792" w14:textId="77777777" w:rsidR="00B145A5" w:rsidRDefault="00B145A5" w:rsidP="00B145A5">
      <w:pPr>
        <w:jc w:val="both"/>
        <w:rPr>
          <w:rFonts w:ascii="Century Gothic" w:hAnsi="Century Gothic"/>
          <w:sz w:val="20"/>
          <w:szCs w:val="20"/>
        </w:rPr>
      </w:pPr>
      <w:r>
        <w:rPr>
          <w:rFonts w:ascii="Century Gothic" w:hAnsi="Century Gothic"/>
          <w:sz w:val="20"/>
          <w:szCs w:val="20"/>
        </w:rPr>
        <w:t>Keegan Booth</w:t>
      </w:r>
    </w:p>
    <w:p w14:paraId="51DBED54" w14:textId="77777777" w:rsidR="00B145A5" w:rsidRDefault="00B145A5" w:rsidP="00B145A5">
      <w:pPr>
        <w:jc w:val="both"/>
        <w:rPr>
          <w:rFonts w:ascii="Century Gothic" w:hAnsi="Century Gothic"/>
          <w:sz w:val="20"/>
          <w:szCs w:val="20"/>
        </w:rPr>
      </w:pPr>
      <w:r>
        <w:rPr>
          <w:rFonts w:ascii="Century Gothic" w:hAnsi="Century Gothic"/>
          <w:sz w:val="20"/>
          <w:szCs w:val="20"/>
        </w:rPr>
        <w:t>Frontier Community Services</w:t>
      </w:r>
    </w:p>
    <w:p w14:paraId="7D2CA1ED" w14:textId="77777777" w:rsidR="00B145A5" w:rsidRDefault="00B145A5" w:rsidP="00B145A5">
      <w:pPr>
        <w:jc w:val="both"/>
        <w:rPr>
          <w:rFonts w:ascii="Century Gothic" w:hAnsi="Century Gothic"/>
          <w:sz w:val="20"/>
          <w:szCs w:val="20"/>
        </w:rPr>
      </w:pPr>
      <w:r>
        <w:rPr>
          <w:rFonts w:ascii="Century Gothic" w:hAnsi="Century Gothic"/>
          <w:sz w:val="20"/>
          <w:szCs w:val="20"/>
        </w:rPr>
        <w:t>12125 Pleasant Valley Rd.</w:t>
      </w:r>
    </w:p>
    <w:p w14:paraId="344D0F50" w14:textId="77777777" w:rsidR="00B145A5" w:rsidRPr="003714A8" w:rsidRDefault="00B145A5" w:rsidP="00B145A5">
      <w:pPr>
        <w:jc w:val="both"/>
        <w:rPr>
          <w:rFonts w:ascii="Century Gothic" w:hAnsi="Century Gothic"/>
          <w:sz w:val="20"/>
          <w:szCs w:val="20"/>
        </w:rPr>
      </w:pPr>
      <w:r>
        <w:rPr>
          <w:rFonts w:ascii="Century Gothic" w:hAnsi="Century Gothic"/>
          <w:sz w:val="20"/>
          <w:szCs w:val="20"/>
        </w:rPr>
        <w:t>Chillicothe, Ohio 45601</w:t>
      </w:r>
    </w:p>
    <w:p w14:paraId="0B51409D" w14:textId="77777777" w:rsidR="00B145A5" w:rsidRDefault="00B145A5" w:rsidP="00B145A5">
      <w:pPr>
        <w:jc w:val="both"/>
        <w:rPr>
          <w:rFonts w:ascii="Century Gothic" w:hAnsi="Century Gothic"/>
          <w:sz w:val="20"/>
          <w:szCs w:val="20"/>
        </w:rPr>
      </w:pPr>
    </w:p>
    <w:p w14:paraId="4C473F28" w14:textId="77777777" w:rsidR="00B145A5" w:rsidRPr="003714A8" w:rsidRDefault="00B145A5" w:rsidP="00B145A5">
      <w:pPr>
        <w:jc w:val="both"/>
        <w:rPr>
          <w:rFonts w:ascii="Century Gothic" w:hAnsi="Century Gothic"/>
          <w:sz w:val="20"/>
          <w:szCs w:val="20"/>
        </w:rPr>
      </w:pPr>
    </w:p>
    <w:p w14:paraId="472884A0" w14:textId="77777777" w:rsidR="00B145A5" w:rsidRPr="003714A8" w:rsidRDefault="00B145A5" w:rsidP="00B145A5">
      <w:pPr>
        <w:jc w:val="both"/>
        <w:rPr>
          <w:rFonts w:ascii="Century Gothic" w:hAnsi="Century Gothic"/>
          <w:sz w:val="20"/>
          <w:szCs w:val="20"/>
        </w:rPr>
      </w:pPr>
      <w:r>
        <w:rPr>
          <w:rFonts w:ascii="Century Gothic" w:hAnsi="Century Gothic"/>
          <w:sz w:val="20"/>
          <w:szCs w:val="20"/>
        </w:rPr>
        <w:t>Cody Price</w:t>
      </w:r>
    </w:p>
    <w:p w14:paraId="7874D3CD" w14:textId="77777777" w:rsidR="00B145A5" w:rsidRPr="003714A8" w:rsidRDefault="00B145A5" w:rsidP="00B145A5">
      <w:pPr>
        <w:jc w:val="both"/>
        <w:rPr>
          <w:rFonts w:ascii="Century Gothic" w:hAnsi="Century Gothic"/>
          <w:sz w:val="20"/>
          <w:szCs w:val="20"/>
        </w:rPr>
      </w:pPr>
      <w:r>
        <w:rPr>
          <w:rFonts w:ascii="Century Gothic" w:hAnsi="Century Gothic"/>
          <w:sz w:val="20"/>
          <w:szCs w:val="20"/>
        </w:rPr>
        <w:t>9% Housing Tax Credit Chief</w:t>
      </w:r>
    </w:p>
    <w:p w14:paraId="34EE4BF8" w14:textId="77777777" w:rsidR="00B145A5" w:rsidRPr="003714A8" w:rsidRDefault="00B145A5" w:rsidP="00B145A5">
      <w:pPr>
        <w:jc w:val="both"/>
        <w:rPr>
          <w:rFonts w:ascii="Century Gothic" w:hAnsi="Century Gothic"/>
          <w:sz w:val="20"/>
          <w:szCs w:val="20"/>
        </w:rPr>
      </w:pPr>
      <w:r w:rsidRPr="003714A8">
        <w:rPr>
          <w:rFonts w:ascii="Century Gothic" w:hAnsi="Century Gothic"/>
          <w:sz w:val="20"/>
          <w:szCs w:val="20"/>
        </w:rPr>
        <w:t>Ohio Housing Finance Agency</w:t>
      </w:r>
    </w:p>
    <w:p w14:paraId="34E54388" w14:textId="77777777" w:rsidR="00B145A5" w:rsidRPr="003714A8" w:rsidRDefault="00B145A5" w:rsidP="00B145A5">
      <w:pPr>
        <w:jc w:val="both"/>
        <w:rPr>
          <w:rFonts w:ascii="Century Gothic" w:hAnsi="Century Gothic"/>
          <w:sz w:val="20"/>
          <w:szCs w:val="20"/>
        </w:rPr>
      </w:pPr>
      <w:r w:rsidRPr="003714A8">
        <w:rPr>
          <w:rFonts w:ascii="Century Gothic" w:hAnsi="Century Gothic"/>
          <w:sz w:val="20"/>
          <w:szCs w:val="20"/>
        </w:rPr>
        <w:t>2600 Corporate Exchange Drive, Suite 300</w:t>
      </w:r>
    </w:p>
    <w:p w14:paraId="5A5C9B76" w14:textId="77777777" w:rsidR="00B145A5" w:rsidRPr="003714A8" w:rsidRDefault="00B145A5" w:rsidP="00B145A5">
      <w:pPr>
        <w:jc w:val="both"/>
        <w:rPr>
          <w:rFonts w:ascii="Century Gothic" w:hAnsi="Century Gothic"/>
          <w:sz w:val="20"/>
          <w:szCs w:val="20"/>
        </w:rPr>
      </w:pPr>
      <w:r w:rsidRPr="003714A8">
        <w:rPr>
          <w:rFonts w:ascii="Century Gothic" w:hAnsi="Century Gothic"/>
          <w:sz w:val="20"/>
          <w:szCs w:val="20"/>
        </w:rPr>
        <w:t>Columbus, Ohio 43231</w:t>
      </w:r>
    </w:p>
    <w:p w14:paraId="2DC4DCA7" w14:textId="77777777" w:rsidR="00B145A5" w:rsidRPr="003714A8" w:rsidRDefault="00B145A5" w:rsidP="00B145A5">
      <w:pPr>
        <w:jc w:val="both"/>
        <w:rPr>
          <w:rFonts w:ascii="Century Gothic" w:hAnsi="Century Gothic"/>
          <w:sz w:val="20"/>
          <w:szCs w:val="20"/>
        </w:rPr>
      </w:pPr>
    </w:p>
    <w:p w14:paraId="7451C3E3" w14:textId="77777777" w:rsidR="00B145A5" w:rsidRPr="003714A8" w:rsidRDefault="00B145A5" w:rsidP="00B145A5">
      <w:pPr>
        <w:jc w:val="both"/>
        <w:rPr>
          <w:rFonts w:ascii="Century Gothic" w:hAnsi="Century Gothic"/>
          <w:sz w:val="20"/>
          <w:szCs w:val="20"/>
        </w:rPr>
      </w:pPr>
      <w:r w:rsidRPr="003714A8">
        <w:rPr>
          <w:rFonts w:ascii="Century Gothic" w:hAnsi="Century Gothic"/>
          <w:sz w:val="20"/>
          <w:szCs w:val="20"/>
        </w:rPr>
        <w:t xml:space="preserve">Subject: </w:t>
      </w:r>
      <w:r>
        <w:rPr>
          <w:rFonts w:ascii="Century Gothic" w:hAnsi="Century Gothic"/>
          <w:sz w:val="20"/>
          <w:szCs w:val="20"/>
        </w:rPr>
        <w:t xml:space="preserve">PY 2026-2027 9% Qualified Allocation Plan </w:t>
      </w:r>
    </w:p>
    <w:p w14:paraId="7FD4D7C4" w14:textId="77777777" w:rsidR="00B145A5" w:rsidRPr="00A179E6" w:rsidRDefault="00B145A5" w:rsidP="00B145A5">
      <w:pPr>
        <w:jc w:val="both"/>
      </w:pPr>
    </w:p>
    <w:p w14:paraId="23668798" w14:textId="77777777" w:rsidR="00B145A5" w:rsidRDefault="00B145A5" w:rsidP="00B145A5">
      <w:pPr>
        <w:jc w:val="both"/>
        <w:rPr>
          <w:rFonts w:ascii="Century Gothic" w:hAnsi="Century Gothic"/>
          <w:sz w:val="20"/>
          <w:szCs w:val="20"/>
        </w:rPr>
      </w:pPr>
      <w:r w:rsidRPr="00B4439A">
        <w:rPr>
          <w:rFonts w:ascii="Century Gothic" w:hAnsi="Century Gothic"/>
          <w:sz w:val="20"/>
          <w:szCs w:val="20"/>
        </w:rPr>
        <w:t xml:space="preserve">Thank you for </w:t>
      </w:r>
      <w:r>
        <w:rPr>
          <w:rFonts w:ascii="Century Gothic" w:hAnsi="Century Gothic"/>
          <w:sz w:val="20"/>
          <w:szCs w:val="20"/>
        </w:rPr>
        <w:t>allowing comments to the 9% Qualified Allocation Plan</w:t>
      </w:r>
    </w:p>
    <w:p w14:paraId="2F6CA2C5" w14:textId="77777777" w:rsidR="00B145A5" w:rsidRDefault="00B145A5" w:rsidP="00B145A5">
      <w:pPr>
        <w:jc w:val="both"/>
        <w:rPr>
          <w:rFonts w:ascii="Century Gothic" w:hAnsi="Century Gothic"/>
          <w:sz w:val="20"/>
          <w:szCs w:val="20"/>
        </w:rPr>
      </w:pPr>
    </w:p>
    <w:p w14:paraId="75AD1D28" w14:textId="77777777" w:rsidR="00B145A5" w:rsidRDefault="00B145A5" w:rsidP="00B145A5">
      <w:pPr>
        <w:jc w:val="both"/>
        <w:rPr>
          <w:rFonts w:ascii="Century Gothic" w:hAnsi="Century Gothic"/>
          <w:b/>
          <w:bCs/>
          <w:sz w:val="20"/>
          <w:szCs w:val="20"/>
        </w:rPr>
      </w:pPr>
      <w:r>
        <w:rPr>
          <w:rFonts w:ascii="Century Gothic" w:hAnsi="Century Gothic"/>
          <w:b/>
          <w:bCs/>
          <w:sz w:val="20"/>
          <w:szCs w:val="20"/>
        </w:rPr>
        <w:t>Application Limits</w:t>
      </w:r>
    </w:p>
    <w:p w14:paraId="0D446D36" w14:textId="77777777" w:rsidR="00B145A5" w:rsidRDefault="00B145A5" w:rsidP="00B145A5">
      <w:pPr>
        <w:jc w:val="both"/>
        <w:rPr>
          <w:rFonts w:ascii="Century Gothic" w:hAnsi="Century Gothic"/>
          <w:sz w:val="20"/>
          <w:szCs w:val="20"/>
        </w:rPr>
      </w:pPr>
      <w:r>
        <w:rPr>
          <w:rFonts w:ascii="Century Gothic" w:hAnsi="Century Gothic"/>
          <w:sz w:val="20"/>
          <w:szCs w:val="20"/>
        </w:rPr>
        <w:t xml:space="preserve">In reference to page 27 of the QAP, development teams that have placed in service between 1and 3 projects in the last ten years are eligible for 2 submissions and 1 award. We believe this is </w:t>
      </w:r>
      <w:r w:rsidRPr="17DBCF2E">
        <w:rPr>
          <w:rFonts w:ascii="Century Gothic" w:hAnsi="Century Gothic"/>
          <w:sz w:val="20"/>
          <w:szCs w:val="20"/>
        </w:rPr>
        <w:t xml:space="preserve">overly strict, particularly when compared to the standards provided in OHFA’s other competitive programs.  </w:t>
      </w:r>
    </w:p>
    <w:p w14:paraId="151E76D4" w14:textId="77777777" w:rsidR="00B145A5" w:rsidRDefault="00B145A5" w:rsidP="00B145A5">
      <w:pPr>
        <w:jc w:val="both"/>
        <w:rPr>
          <w:rFonts w:ascii="Century Gothic" w:hAnsi="Century Gothic"/>
          <w:sz w:val="20"/>
          <w:szCs w:val="20"/>
        </w:rPr>
      </w:pPr>
    </w:p>
    <w:p w14:paraId="4CC15E0F" w14:textId="77777777" w:rsidR="00B145A5" w:rsidRDefault="00B145A5" w:rsidP="00B145A5">
      <w:pPr>
        <w:jc w:val="both"/>
        <w:rPr>
          <w:rFonts w:ascii="Century Gothic" w:hAnsi="Century Gothic"/>
          <w:b/>
          <w:bCs/>
          <w:sz w:val="20"/>
          <w:szCs w:val="20"/>
        </w:rPr>
      </w:pPr>
      <w:r w:rsidRPr="00DF3798">
        <w:rPr>
          <w:rFonts w:ascii="Century Gothic" w:hAnsi="Century Gothic"/>
          <w:b/>
          <w:bCs/>
          <w:sz w:val="20"/>
          <w:szCs w:val="20"/>
        </w:rPr>
        <w:t>Document Requirement</w:t>
      </w:r>
      <w:r>
        <w:rPr>
          <w:rFonts w:ascii="Century Gothic" w:hAnsi="Century Gothic"/>
          <w:b/>
          <w:bCs/>
          <w:sz w:val="20"/>
          <w:szCs w:val="20"/>
        </w:rPr>
        <w:t>s</w:t>
      </w:r>
      <w:r w:rsidRPr="00DF3798">
        <w:rPr>
          <w:rFonts w:ascii="Century Gothic" w:hAnsi="Century Gothic"/>
          <w:b/>
          <w:bCs/>
          <w:sz w:val="20"/>
          <w:szCs w:val="20"/>
        </w:rPr>
        <w:t xml:space="preserve"> for Proposal Applications</w:t>
      </w:r>
    </w:p>
    <w:p w14:paraId="31424462" w14:textId="77777777" w:rsidR="00B145A5" w:rsidRDefault="00B145A5" w:rsidP="00B145A5">
      <w:pPr>
        <w:pStyle w:val="ListParagraph"/>
        <w:numPr>
          <w:ilvl w:val="0"/>
          <w:numId w:val="1"/>
        </w:numPr>
        <w:spacing w:after="160" w:line="259" w:lineRule="auto"/>
        <w:jc w:val="both"/>
        <w:rPr>
          <w:rFonts w:ascii="Century Gothic" w:hAnsi="Century Gothic"/>
          <w:b/>
          <w:bCs/>
          <w:sz w:val="20"/>
          <w:szCs w:val="20"/>
        </w:rPr>
      </w:pPr>
      <w:r>
        <w:rPr>
          <w:rFonts w:ascii="Century Gothic" w:hAnsi="Century Gothic"/>
          <w:b/>
          <w:bCs/>
          <w:sz w:val="20"/>
          <w:szCs w:val="20"/>
        </w:rPr>
        <w:t>Architectural Plans</w:t>
      </w:r>
    </w:p>
    <w:p w14:paraId="564642C2" w14:textId="3F5DD309" w:rsidR="00B145A5" w:rsidRDefault="00B145A5" w:rsidP="00B145A5">
      <w:pPr>
        <w:jc w:val="both"/>
        <w:rPr>
          <w:rFonts w:ascii="Century Gothic" w:hAnsi="Century Gothic"/>
          <w:sz w:val="20"/>
          <w:szCs w:val="20"/>
        </w:rPr>
      </w:pPr>
      <w:r>
        <w:rPr>
          <w:rFonts w:ascii="Century Gothic" w:hAnsi="Century Gothic"/>
          <w:sz w:val="20"/>
          <w:szCs w:val="20"/>
        </w:rPr>
        <w:t xml:space="preserve">At proposal-application, </w:t>
      </w:r>
      <w:r w:rsidR="00370579">
        <w:rPr>
          <w:rFonts w:ascii="Century Gothic" w:hAnsi="Century Gothic"/>
          <w:sz w:val="20"/>
          <w:szCs w:val="20"/>
        </w:rPr>
        <w:t>c</w:t>
      </w:r>
      <w:r>
        <w:rPr>
          <w:rFonts w:ascii="Century Gothic" w:hAnsi="Century Gothic"/>
          <w:sz w:val="20"/>
          <w:szCs w:val="20"/>
        </w:rPr>
        <w:t>onsider a preliminary site plan vs preliminary architectural drawing across all programs.</w:t>
      </w:r>
    </w:p>
    <w:p w14:paraId="607C008A" w14:textId="0836FB6C" w:rsidR="00B145A5" w:rsidRDefault="00B145A5" w:rsidP="00B145A5">
      <w:pPr>
        <w:jc w:val="both"/>
        <w:rPr>
          <w:rFonts w:ascii="Century Gothic" w:hAnsi="Century Gothic"/>
          <w:sz w:val="20"/>
          <w:szCs w:val="20"/>
        </w:rPr>
      </w:pPr>
      <w:r>
        <w:rPr>
          <w:rFonts w:ascii="Century Gothic" w:hAnsi="Century Gothic"/>
          <w:sz w:val="20"/>
          <w:szCs w:val="20"/>
        </w:rPr>
        <w:t>If awarded, 80% plan submission.</w:t>
      </w:r>
    </w:p>
    <w:p w14:paraId="6B005E85" w14:textId="77777777" w:rsidR="00F971A6" w:rsidRPr="00074648" w:rsidRDefault="00F971A6" w:rsidP="00B145A5">
      <w:pPr>
        <w:jc w:val="both"/>
        <w:rPr>
          <w:rFonts w:ascii="Century Gothic" w:hAnsi="Century Gothic"/>
          <w:sz w:val="20"/>
          <w:szCs w:val="20"/>
        </w:rPr>
      </w:pPr>
    </w:p>
    <w:p w14:paraId="102D95D6" w14:textId="77777777" w:rsidR="00B145A5" w:rsidRDefault="00B145A5" w:rsidP="00B145A5">
      <w:pPr>
        <w:pStyle w:val="ListParagraph"/>
        <w:numPr>
          <w:ilvl w:val="0"/>
          <w:numId w:val="1"/>
        </w:numPr>
        <w:spacing w:after="160" w:line="259" w:lineRule="auto"/>
        <w:jc w:val="both"/>
        <w:rPr>
          <w:rFonts w:ascii="Century Gothic" w:hAnsi="Century Gothic"/>
          <w:b/>
          <w:bCs/>
          <w:sz w:val="20"/>
          <w:szCs w:val="20"/>
        </w:rPr>
      </w:pPr>
      <w:r>
        <w:rPr>
          <w:rFonts w:ascii="Century Gothic" w:hAnsi="Century Gothic"/>
          <w:b/>
          <w:bCs/>
          <w:sz w:val="20"/>
          <w:szCs w:val="20"/>
        </w:rPr>
        <w:t>Strategic Initiative Set-Aside</w:t>
      </w:r>
    </w:p>
    <w:p w14:paraId="3FD9F534" w14:textId="77777777" w:rsidR="00B145A5" w:rsidRDefault="00B145A5" w:rsidP="00B145A5">
      <w:pPr>
        <w:jc w:val="both"/>
        <w:rPr>
          <w:rFonts w:ascii="Century Gothic" w:hAnsi="Century Gothic"/>
          <w:sz w:val="20"/>
          <w:szCs w:val="20"/>
        </w:rPr>
      </w:pPr>
      <w:r>
        <w:rPr>
          <w:rFonts w:ascii="Century Gothic" w:hAnsi="Century Gothic"/>
          <w:sz w:val="20"/>
          <w:szCs w:val="20"/>
        </w:rPr>
        <w:t xml:space="preserve">In reference to page 34 of the QAP, we would like to comment on the proposed language for the Community Impact Strategic Initiative Set Aside. The current language states that “preference will be given to counties not receiving an award in the last five years.” We are fully supportive of that language. We would like to request a second evaluation criteria to be used. In the SFY2026 OLIHTC round, projects were also given preference for the set-aside if “they met a quantifiable need and target policy and/or geographic areas left underserved through the competitive selection process.” We believe this is essential language as within populous counties, there are large areas that have not received awards in the last five years. </w:t>
      </w:r>
    </w:p>
    <w:p w14:paraId="27A0AA27" w14:textId="77777777" w:rsidR="00B145A5" w:rsidRDefault="00B145A5" w:rsidP="00B145A5">
      <w:pPr>
        <w:jc w:val="both"/>
        <w:rPr>
          <w:rFonts w:ascii="Century Gothic" w:hAnsi="Century Gothic"/>
          <w:sz w:val="20"/>
          <w:szCs w:val="20"/>
        </w:rPr>
      </w:pPr>
      <w:r>
        <w:rPr>
          <w:rFonts w:ascii="Century Gothic" w:hAnsi="Century Gothic"/>
          <w:sz w:val="20"/>
          <w:szCs w:val="20"/>
        </w:rPr>
        <w:t>Furthermore-Language in the QAP states, “The project must demonstrate local support from all municipal corporations in which the project is proposed to be constructed or that is within one-half mile of the projects boundaries. The project must also demonstrate support from the County.”</w:t>
      </w:r>
    </w:p>
    <w:p w14:paraId="59AC60F9" w14:textId="77777777" w:rsidR="00B145A5" w:rsidRDefault="00B145A5" w:rsidP="00B145A5">
      <w:pPr>
        <w:jc w:val="both"/>
        <w:rPr>
          <w:rFonts w:ascii="Century Gothic" w:hAnsi="Century Gothic"/>
          <w:sz w:val="20"/>
          <w:szCs w:val="20"/>
        </w:rPr>
      </w:pPr>
      <w:r w:rsidRPr="00A32762">
        <w:rPr>
          <w:rFonts w:ascii="Century Gothic" w:hAnsi="Century Gothic"/>
          <w:sz w:val="20"/>
          <w:szCs w:val="20"/>
        </w:rPr>
        <w:t>The requirement that</w:t>
      </w:r>
      <w:r>
        <w:rPr>
          <w:rFonts w:ascii="Century Gothic" w:hAnsi="Century Gothic"/>
          <w:sz w:val="20"/>
          <w:szCs w:val="20"/>
        </w:rPr>
        <w:t xml:space="preserve">, “The project must also demonstrate support from the County” is problematic for two very important reasons </w:t>
      </w:r>
      <w:r w:rsidRPr="00A32762">
        <w:rPr>
          <w:rFonts w:ascii="Century Gothic" w:hAnsi="Century Gothic"/>
          <w:sz w:val="20"/>
          <w:szCs w:val="20"/>
        </w:rPr>
        <w:t>and disproportionately disadvantages rural communities compared to their urban counterparts.</w:t>
      </w:r>
      <w:r>
        <w:rPr>
          <w:rFonts w:ascii="Century Gothic" w:hAnsi="Century Gothic"/>
          <w:sz w:val="20"/>
          <w:szCs w:val="20"/>
        </w:rPr>
        <w:t xml:space="preserve"> </w:t>
      </w:r>
    </w:p>
    <w:p w14:paraId="4511233F" w14:textId="77777777" w:rsidR="00B145A5" w:rsidRDefault="00B145A5" w:rsidP="00B145A5">
      <w:pPr>
        <w:pStyle w:val="ListParagraph"/>
        <w:numPr>
          <w:ilvl w:val="0"/>
          <w:numId w:val="2"/>
        </w:numPr>
        <w:spacing w:after="160" w:line="259" w:lineRule="auto"/>
        <w:jc w:val="both"/>
        <w:rPr>
          <w:rFonts w:ascii="Century Gothic" w:hAnsi="Century Gothic"/>
          <w:sz w:val="20"/>
          <w:szCs w:val="20"/>
        </w:rPr>
      </w:pPr>
      <w:r w:rsidRPr="00A32762">
        <w:rPr>
          <w:rFonts w:ascii="Century Gothic" w:hAnsi="Century Gothic"/>
          <w:sz w:val="20"/>
          <w:szCs w:val="20"/>
        </w:rPr>
        <w:lastRenderedPageBreak/>
        <w:t xml:space="preserve">Lack of Familiarity and Reluctance to Prioritize: </w:t>
      </w:r>
      <w:r w:rsidRPr="000635C8">
        <w:rPr>
          <w:rFonts w:ascii="Century Gothic" w:hAnsi="Century Gothic"/>
          <w:sz w:val="20"/>
          <w:szCs w:val="20"/>
        </w:rPr>
        <w:t xml:space="preserve">When bringing </w:t>
      </w:r>
      <w:r>
        <w:rPr>
          <w:rFonts w:ascii="Century Gothic" w:hAnsi="Century Gothic"/>
          <w:sz w:val="20"/>
          <w:szCs w:val="20"/>
        </w:rPr>
        <w:t xml:space="preserve">a </w:t>
      </w:r>
      <w:r w:rsidRPr="000635C8">
        <w:rPr>
          <w:rFonts w:ascii="Century Gothic" w:hAnsi="Century Gothic"/>
          <w:sz w:val="20"/>
          <w:szCs w:val="20"/>
        </w:rPr>
        <w:t xml:space="preserve">much-needed development to a rural county, </w:t>
      </w:r>
      <w:r>
        <w:rPr>
          <w:rFonts w:ascii="Century Gothic" w:hAnsi="Century Gothic"/>
          <w:sz w:val="20"/>
          <w:szCs w:val="20"/>
        </w:rPr>
        <w:t xml:space="preserve">elected officials, particularly County Commissioners, are often unfamiliar with affordable housing programs and the complexities of funding mechanisms and guidelines like LIHTC QAPs.  As a result, many </w:t>
      </w:r>
      <w:r w:rsidRPr="000635C8">
        <w:rPr>
          <w:rFonts w:ascii="Century Gothic" w:hAnsi="Century Gothic"/>
          <w:sz w:val="20"/>
          <w:szCs w:val="20"/>
        </w:rPr>
        <w:t xml:space="preserve">commissioners </w:t>
      </w:r>
      <w:r w:rsidRPr="00A32762">
        <w:rPr>
          <w:rFonts w:ascii="Century Gothic" w:hAnsi="Century Gothic"/>
          <w:sz w:val="20"/>
          <w:szCs w:val="20"/>
        </w:rPr>
        <w:t>may be hesitant to formally support any individual development. In some cases, commissioners are unwilling to endorse one project over another, fearing it could create tension between townships or municipalities within the county. In other cases, they simply decline to support affordable housing altogether, regardless of local need.</w:t>
      </w:r>
    </w:p>
    <w:p w14:paraId="3D820C37" w14:textId="77777777" w:rsidR="00B145A5" w:rsidRDefault="00B145A5" w:rsidP="00B145A5">
      <w:pPr>
        <w:pStyle w:val="ListParagraph"/>
        <w:jc w:val="both"/>
        <w:rPr>
          <w:rFonts w:ascii="Century Gothic" w:hAnsi="Century Gothic"/>
          <w:sz w:val="20"/>
          <w:szCs w:val="20"/>
        </w:rPr>
      </w:pPr>
    </w:p>
    <w:p w14:paraId="411B7C23" w14:textId="77777777" w:rsidR="00B145A5" w:rsidRDefault="00B145A5" w:rsidP="00B145A5">
      <w:pPr>
        <w:pStyle w:val="ListParagraph"/>
        <w:numPr>
          <w:ilvl w:val="0"/>
          <w:numId w:val="2"/>
        </w:numPr>
        <w:spacing w:after="160" w:line="259" w:lineRule="auto"/>
        <w:jc w:val="both"/>
        <w:rPr>
          <w:rFonts w:ascii="Century Gothic" w:hAnsi="Century Gothic"/>
          <w:sz w:val="20"/>
          <w:szCs w:val="20"/>
        </w:rPr>
      </w:pPr>
      <w:r w:rsidRPr="00A32762">
        <w:rPr>
          <w:rFonts w:ascii="Century Gothic" w:hAnsi="Century Gothic"/>
          <w:sz w:val="20"/>
          <w:szCs w:val="20"/>
        </w:rPr>
        <w:t>Bias Toward Larger Municipalities:</w:t>
      </w:r>
      <w:r>
        <w:rPr>
          <w:rFonts w:ascii="Century Gothic" w:hAnsi="Century Gothic"/>
          <w:sz w:val="20"/>
          <w:szCs w:val="20"/>
        </w:rPr>
        <w:t xml:space="preserve">  </w:t>
      </w:r>
      <w:r w:rsidRPr="00A32762">
        <w:rPr>
          <w:rFonts w:ascii="Century Gothic" w:hAnsi="Century Gothic"/>
          <w:sz w:val="20"/>
          <w:szCs w:val="20"/>
        </w:rPr>
        <w:t>In rural counties with both small villages and larger municipalities, commissioners tend to favor developments located in the largest city or township. This creates an uneven playing field and places smaller, hyper-rural communities</w:t>
      </w:r>
      <w:r>
        <w:rPr>
          <w:rFonts w:ascii="Century Gothic" w:hAnsi="Century Gothic"/>
          <w:sz w:val="20"/>
          <w:szCs w:val="20"/>
        </w:rPr>
        <w:t xml:space="preserve">, </w:t>
      </w:r>
      <w:r w:rsidRPr="00A32762">
        <w:rPr>
          <w:rFonts w:ascii="Century Gothic" w:hAnsi="Century Gothic"/>
          <w:sz w:val="20"/>
          <w:szCs w:val="20"/>
        </w:rPr>
        <w:t>often those with the greatest housing needs</w:t>
      </w:r>
      <w:r>
        <w:rPr>
          <w:rFonts w:ascii="Century Gothic" w:hAnsi="Century Gothic"/>
          <w:sz w:val="20"/>
          <w:szCs w:val="20"/>
        </w:rPr>
        <w:t xml:space="preserve">, </w:t>
      </w:r>
      <w:r w:rsidRPr="00A32762">
        <w:rPr>
          <w:rFonts w:ascii="Century Gothic" w:hAnsi="Century Gothic"/>
          <w:sz w:val="20"/>
          <w:szCs w:val="20"/>
        </w:rPr>
        <w:t>at an immediate disadvantage. These are also the areas least likely to have access to other funding opportunities.</w:t>
      </w:r>
    </w:p>
    <w:p w14:paraId="5676229B" w14:textId="77777777" w:rsidR="00B145A5" w:rsidRPr="008D02BD" w:rsidRDefault="00B145A5" w:rsidP="00B145A5">
      <w:pPr>
        <w:pStyle w:val="ListParagraph"/>
        <w:rPr>
          <w:rFonts w:ascii="Century Gothic" w:hAnsi="Century Gothic"/>
          <w:sz w:val="20"/>
          <w:szCs w:val="20"/>
        </w:rPr>
      </w:pPr>
    </w:p>
    <w:p w14:paraId="0D1A70A0" w14:textId="77777777" w:rsidR="00B145A5" w:rsidRDefault="00B145A5" w:rsidP="00B145A5">
      <w:pPr>
        <w:jc w:val="both"/>
        <w:rPr>
          <w:rFonts w:ascii="Century Gothic" w:hAnsi="Century Gothic"/>
          <w:sz w:val="20"/>
          <w:szCs w:val="20"/>
        </w:rPr>
      </w:pPr>
      <w:r w:rsidRPr="00A32762">
        <w:rPr>
          <w:rFonts w:ascii="Century Gothic" w:hAnsi="Century Gothic"/>
          <w:sz w:val="20"/>
          <w:szCs w:val="20"/>
        </w:rPr>
        <w:t>For many counties in Appalachian Ohio, this set-aside represents the only realistic pathway to bringing new, high-quality housing to their communities. Requiring county-level endorsement risks leaving the most vulnerable and underserved areas behind due to structural and political barriers that are outside the control of developers and local stakeholders.</w:t>
      </w:r>
    </w:p>
    <w:p w14:paraId="0D5048EE" w14:textId="77777777" w:rsidR="00F971A6" w:rsidRDefault="00F971A6" w:rsidP="00B145A5">
      <w:pPr>
        <w:jc w:val="both"/>
        <w:rPr>
          <w:rFonts w:ascii="Century Gothic" w:hAnsi="Century Gothic"/>
          <w:sz w:val="20"/>
          <w:szCs w:val="20"/>
        </w:rPr>
      </w:pPr>
    </w:p>
    <w:p w14:paraId="4A5F5535" w14:textId="77777777" w:rsidR="00B145A5" w:rsidRPr="008D02BD" w:rsidRDefault="00B145A5" w:rsidP="00B145A5">
      <w:pPr>
        <w:pStyle w:val="ListParagraph"/>
        <w:numPr>
          <w:ilvl w:val="0"/>
          <w:numId w:val="2"/>
        </w:numPr>
        <w:spacing w:after="160" w:line="259" w:lineRule="auto"/>
        <w:jc w:val="both"/>
        <w:rPr>
          <w:rFonts w:ascii="Century Gothic" w:hAnsi="Century Gothic"/>
          <w:b/>
          <w:bCs/>
          <w:sz w:val="20"/>
          <w:szCs w:val="20"/>
        </w:rPr>
      </w:pPr>
      <w:r w:rsidRPr="008D02BD">
        <w:rPr>
          <w:rFonts w:ascii="Century Gothic" w:hAnsi="Century Gothic"/>
          <w:b/>
          <w:bCs/>
          <w:sz w:val="20"/>
          <w:szCs w:val="20"/>
        </w:rPr>
        <w:t>Appalachian Set-Aside</w:t>
      </w:r>
    </w:p>
    <w:p w14:paraId="4654BD1A" w14:textId="77777777" w:rsidR="00B145A5" w:rsidRDefault="00B145A5" w:rsidP="00B145A5">
      <w:pPr>
        <w:pStyle w:val="ListParagraph"/>
        <w:jc w:val="both"/>
        <w:rPr>
          <w:rFonts w:ascii="Century Gothic" w:hAnsi="Century Gothic"/>
          <w:sz w:val="20"/>
          <w:szCs w:val="20"/>
        </w:rPr>
      </w:pPr>
    </w:p>
    <w:p w14:paraId="3BE76909" w14:textId="77777777" w:rsidR="00B145A5" w:rsidRPr="008D02BD" w:rsidRDefault="00B145A5" w:rsidP="00B145A5">
      <w:pPr>
        <w:pStyle w:val="ListParagraph"/>
        <w:numPr>
          <w:ilvl w:val="0"/>
          <w:numId w:val="3"/>
        </w:numPr>
        <w:spacing w:after="160" w:line="259" w:lineRule="auto"/>
        <w:jc w:val="both"/>
        <w:rPr>
          <w:rFonts w:ascii="Century Gothic" w:hAnsi="Century Gothic"/>
          <w:sz w:val="20"/>
          <w:szCs w:val="20"/>
        </w:rPr>
      </w:pPr>
      <w:r w:rsidRPr="008D02BD">
        <w:rPr>
          <w:rFonts w:ascii="Century Gothic" w:hAnsi="Century Gothic"/>
          <w:sz w:val="20"/>
          <w:szCs w:val="20"/>
        </w:rPr>
        <w:t>All Appalachian Ohio benefits from this set aside</w:t>
      </w:r>
      <w:r>
        <w:rPr>
          <w:rFonts w:ascii="Century Gothic" w:hAnsi="Century Gothic"/>
          <w:sz w:val="20"/>
          <w:szCs w:val="20"/>
        </w:rPr>
        <w:t>. The</w:t>
      </w:r>
      <w:r w:rsidRPr="008D02BD">
        <w:rPr>
          <w:rFonts w:ascii="Century Gothic" w:hAnsi="Century Gothic"/>
          <w:sz w:val="20"/>
          <w:szCs w:val="20"/>
        </w:rPr>
        <w:t xml:space="preserve"> new neighborhood Opportunity Index</w:t>
      </w:r>
      <w:r>
        <w:rPr>
          <w:rFonts w:ascii="Century Gothic" w:hAnsi="Century Gothic"/>
          <w:sz w:val="20"/>
          <w:szCs w:val="20"/>
        </w:rPr>
        <w:t xml:space="preserve"> will leave</w:t>
      </w:r>
      <w:r w:rsidRPr="008D02BD">
        <w:rPr>
          <w:rFonts w:ascii="Century Gothic" w:hAnsi="Century Gothic"/>
          <w:sz w:val="20"/>
          <w:szCs w:val="20"/>
        </w:rPr>
        <w:t xml:space="preserve"> most of Appalachian Ohio behind as access to better schools, jobs and amenities are in process in these highly rural areas.</w:t>
      </w:r>
    </w:p>
    <w:p w14:paraId="37B548E6" w14:textId="77777777" w:rsidR="00B145A5" w:rsidRDefault="00B145A5" w:rsidP="00B145A5">
      <w:pPr>
        <w:jc w:val="both"/>
        <w:rPr>
          <w:rFonts w:ascii="Century Gothic" w:hAnsi="Century Gothic"/>
          <w:sz w:val="20"/>
          <w:szCs w:val="20"/>
        </w:rPr>
      </w:pPr>
    </w:p>
    <w:p w14:paraId="40BA7619" w14:textId="77777777" w:rsidR="00B145A5" w:rsidRDefault="00B145A5" w:rsidP="00B145A5">
      <w:pPr>
        <w:jc w:val="both"/>
        <w:rPr>
          <w:rFonts w:ascii="Century Gothic" w:hAnsi="Century Gothic"/>
          <w:b/>
          <w:bCs/>
          <w:sz w:val="20"/>
          <w:szCs w:val="20"/>
        </w:rPr>
      </w:pPr>
      <w:r>
        <w:rPr>
          <w:rFonts w:ascii="Century Gothic" w:hAnsi="Century Gothic"/>
          <w:b/>
          <w:bCs/>
          <w:sz w:val="20"/>
          <w:szCs w:val="20"/>
        </w:rPr>
        <w:t>Minimum Threshold to Compete</w:t>
      </w:r>
    </w:p>
    <w:p w14:paraId="4C516F0E" w14:textId="6A2DE25D" w:rsidR="00B145A5" w:rsidRDefault="00B145A5" w:rsidP="00B145A5">
      <w:pPr>
        <w:jc w:val="both"/>
        <w:rPr>
          <w:rFonts w:ascii="Century Gothic" w:hAnsi="Century Gothic"/>
          <w:sz w:val="20"/>
          <w:szCs w:val="20"/>
        </w:rPr>
      </w:pPr>
      <w:r w:rsidRPr="041A0918">
        <w:rPr>
          <w:rFonts w:ascii="Century Gothic" w:hAnsi="Century Gothic"/>
          <w:sz w:val="20"/>
          <w:szCs w:val="20"/>
        </w:rPr>
        <w:t xml:space="preserve">One of the most concerning policies in the draft QAP is the introduction of a minimum Neighborhood Opportunity Index score as a de facto threshold requirement. Although this criterion appears within the competitive scoring section (see page 48), it functions as a hard </w:t>
      </w:r>
      <w:r w:rsidRPr="0E46C460">
        <w:rPr>
          <w:rFonts w:ascii="Century Gothic" w:hAnsi="Century Gothic"/>
          <w:sz w:val="20"/>
          <w:szCs w:val="20"/>
        </w:rPr>
        <w:t>cutoff effectively</w:t>
      </w:r>
      <w:r w:rsidRPr="041A0918">
        <w:rPr>
          <w:rFonts w:ascii="Century Gothic" w:hAnsi="Century Gothic"/>
          <w:sz w:val="20"/>
          <w:szCs w:val="20"/>
        </w:rPr>
        <w:t xml:space="preserve"> disqualifying proposals in census tracts that fall below the regional </w:t>
      </w:r>
      <w:proofErr w:type="gramStart"/>
      <w:r w:rsidRPr="041A0918">
        <w:rPr>
          <w:rFonts w:ascii="Century Gothic" w:hAnsi="Century Gothic"/>
          <w:sz w:val="20"/>
          <w:szCs w:val="20"/>
        </w:rPr>
        <w:t>median</w:t>
      </w:r>
      <w:proofErr w:type="gramEnd"/>
      <w:r w:rsidRPr="041A0918">
        <w:rPr>
          <w:rFonts w:ascii="Century Gothic" w:hAnsi="Century Gothic"/>
          <w:sz w:val="20"/>
          <w:szCs w:val="20"/>
        </w:rPr>
        <w:t xml:space="preserve">, regardless of how well those sites perform on other metrics. </w:t>
      </w:r>
      <w:r>
        <w:rPr>
          <w:rFonts w:ascii="Century Gothic" w:hAnsi="Century Gothic"/>
          <w:sz w:val="20"/>
          <w:szCs w:val="20"/>
        </w:rPr>
        <w:t>We do support the establishment of a minimum threshold for scoring, but we don’t believe it should focus on one singular scoring category. We believe this unfairly penalize</w:t>
      </w:r>
      <w:r w:rsidR="00A82FB7">
        <w:rPr>
          <w:rFonts w:ascii="Century Gothic" w:hAnsi="Century Gothic"/>
          <w:sz w:val="20"/>
          <w:szCs w:val="20"/>
        </w:rPr>
        <w:t xml:space="preserve">s </w:t>
      </w:r>
      <w:r>
        <w:rPr>
          <w:rFonts w:ascii="Century Gothic" w:hAnsi="Century Gothic"/>
          <w:sz w:val="20"/>
          <w:szCs w:val="20"/>
        </w:rPr>
        <w:t xml:space="preserve">areas </w:t>
      </w:r>
      <w:r w:rsidR="00A82FB7">
        <w:rPr>
          <w:rFonts w:ascii="Century Gothic" w:hAnsi="Century Gothic"/>
          <w:sz w:val="20"/>
          <w:szCs w:val="20"/>
        </w:rPr>
        <w:t xml:space="preserve">that </w:t>
      </w:r>
      <w:r>
        <w:rPr>
          <w:rFonts w:ascii="Century Gothic" w:hAnsi="Century Gothic"/>
          <w:sz w:val="20"/>
          <w:szCs w:val="20"/>
        </w:rPr>
        <w:t>have extremely high housing needs scores, but opportunity scores that are a tad below the median. We suggest creating a minimum cumulative score, such as 50 total points out of 100, which would encompass both the opportunity and housing needs scores.</w:t>
      </w:r>
    </w:p>
    <w:p w14:paraId="6B1E3AFC" w14:textId="77777777" w:rsidR="00B145A5" w:rsidRDefault="00B145A5" w:rsidP="00B145A5">
      <w:pPr>
        <w:jc w:val="both"/>
        <w:rPr>
          <w:rFonts w:ascii="Century Gothic" w:hAnsi="Century Gothic"/>
          <w:sz w:val="20"/>
          <w:szCs w:val="20"/>
        </w:rPr>
      </w:pPr>
      <w:r w:rsidRPr="7CEEC37F">
        <w:rPr>
          <w:rFonts w:ascii="Century Gothic" w:hAnsi="Century Gothic"/>
          <w:sz w:val="20"/>
          <w:szCs w:val="20"/>
        </w:rPr>
        <w:t xml:space="preserve">By embedding a rigid </w:t>
      </w:r>
      <w:r w:rsidRPr="207901D0">
        <w:rPr>
          <w:rFonts w:ascii="Century Gothic" w:hAnsi="Century Gothic"/>
          <w:sz w:val="20"/>
          <w:szCs w:val="20"/>
        </w:rPr>
        <w:t xml:space="preserve">Neighborhood Opportunity </w:t>
      </w:r>
      <w:r w:rsidRPr="2682FD6D">
        <w:rPr>
          <w:rFonts w:ascii="Century Gothic" w:hAnsi="Century Gothic"/>
          <w:sz w:val="20"/>
          <w:szCs w:val="20"/>
        </w:rPr>
        <w:t>Index</w:t>
      </w:r>
      <w:r w:rsidRPr="7CEEC37F">
        <w:rPr>
          <w:rFonts w:ascii="Century Gothic" w:hAnsi="Century Gothic"/>
          <w:sz w:val="20"/>
          <w:szCs w:val="20"/>
        </w:rPr>
        <w:t xml:space="preserve"> threshold, the draft QAP excludes large portions of the state from </w:t>
      </w:r>
      <w:r w:rsidRPr="66F1C773">
        <w:rPr>
          <w:rFonts w:ascii="Century Gothic" w:hAnsi="Century Gothic"/>
          <w:sz w:val="20"/>
          <w:szCs w:val="20"/>
        </w:rPr>
        <w:t>eligibility particularly</w:t>
      </w:r>
      <w:r w:rsidRPr="7CEEC37F">
        <w:rPr>
          <w:rFonts w:ascii="Century Gothic" w:hAnsi="Century Gothic"/>
          <w:sz w:val="20"/>
          <w:szCs w:val="20"/>
        </w:rPr>
        <w:t xml:space="preserve"> communities with a legacy of disinvestment, racial segregation, and economic marginalization. This approach risks concentrating LIHTC resources in only the highest-income neighborhoods</w:t>
      </w:r>
      <w:r>
        <w:rPr>
          <w:rFonts w:ascii="Century Gothic" w:hAnsi="Century Gothic"/>
          <w:sz w:val="20"/>
          <w:szCs w:val="20"/>
        </w:rPr>
        <w:t xml:space="preserve"> which results in most of Rural Ohio and the vast majority of Appalachian Counties continuing to be left underserved.</w:t>
      </w:r>
    </w:p>
    <w:p w14:paraId="01C9B9A8" w14:textId="77777777" w:rsidR="00B145A5" w:rsidRDefault="00B145A5" w:rsidP="00B145A5">
      <w:pPr>
        <w:jc w:val="both"/>
        <w:rPr>
          <w:rFonts w:ascii="Century Gothic" w:hAnsi="Century Gothic"/>
          <w:sz w:val="20"/>
          <w:szCs w:val="20"/>
        </w:rPr>
      </w:pPr>
      <w:r w:rsidRPr="3A231A39">
        <w:rPr>
          <w:rFonts w:ascii="Century Gothic" w:hAnsi="Century Gothic"/>
          <w:sz w:val="20"/>
          <w:szCs w:val="20"/>
        </w:rPr>
        <w:t xml:space="preserve">Rather than an either/or approach, the QAP should embrace a “both/and” strategy supporting opportunity rich neighborhoods while also ensuring that historically underserved communities remain eligible for critical investment. </w:t>
      </w:r>
      <w:r w:rsidRPr="7FE3F579">
        <w:rPr>
          <w:rFonts w:ascii="Century Gothic" w:hAnsi="Century Gothic"/>
          <w:sz w:val="20"/>
          <w:szCs w:val="20"/>
        </w:rPr>
        <w:t>Restricting access to resources based on a single index score runs counter to OHFA’s stated 2026 Annual Plan goal: “Prioritize compliance with the Fair Housing Act of 1968 and administer funding programs in a manner that affirmatively furthers fair housing to protect renters and homeowners.”</w:t>
      </w:r>
    </w:p>
    <w:p w14:paraId="32E408EC" w14:textId="77777777" w:rsidR="00B145A5" w:rsidRPr="0089070D" w:rsidRDefault="00B145A5" w:rsidP="00B145A5">
      <w:pPr>
        <w:jc w:val="both"/>
        <w:rPr>
          <w:rFonts w:ascii="Century Gothic" w:hAnsi="Century Gothic"/>
          <w:sz w:val="20"/>
          <w:szCs w:val="20"/>
        </w:rPr>
      </w:pPr>
    </w:p>
    <w:p w14:paraId="713703A0" w14:textId="77777777" w:rsidR="00B145A5" w:rsidRDefault="00B145A5" w:rsidP="00B145A5">
      <w:pPr>
        <w:ind w:firstLine="360"/>
        <w:jc w:val="both"/>
        <w:rPr>
          <w:rFonts w:ascii="Century Gothic" w:hAnsi="Century Gothic"/>
          <w:sz w:val="20"/>
          <w:szCs w:val="20"/>
        </w:rPr>
      </w:pPr>
    </w:p>
    <w:p w14:paraId="3BF5777E" w14:textId="77777777" w:rsidR="00B145A5" w:rsidRDefault="00B145A5" w:rsidP="00B145A5">
      <w:pPr>
        <w:ind w:firstLine="360"/>
        <w:jc w:val="both"/>
        <w:rPr>
          <w:rFonts w:ascii="Century Gothic" w:hAnsi="Century Gothic"/>
          <w:sz w:val="20"/>
          <w:szCs w:val="20"/>
        </w:rPr>
      </w:pPr>
    </w:p>
    <w:p w14:paraId="4283E561" w14:textId="77777777" w:rsidR="00B145A5" w:rsidRDefault="00B145A5" w:rsidP="00B145A5">
      <w:pPr>
        <w:ind w:firstLine="360"/>
        <w:jc w:val="both"/>
        <w:rPr>
          <w:rFonts w:ascii="Century Gothic" w:hAnsi="Century Gothic"/>
          <w:sz w:val="20"/>
          <w:szCs w:val="20"/>
        </w:rPr>
      </w:pPr>
    </w:p>
    <w:p w14:paraId="66930350" w14:textId="77777777" w:rsidR="00B145A5" w:rsidRPr="00ED30F2" w:rsidRDefault="00B145A5" w:rsidP="00B145A5">
      <w:pPr>
        <w:jc w:val="both"/>
        <w:rPr>
          <w:rFonts w:ascii="Century Gothic" w:hAnsi="Century Gothic"/>
          <w:sz w:val="20"/>
          <w:szCs w:val="20"/>
        </w:rPr>
      </w:pPr>
      <w:r w:rsidRPr="00ED30F2">
        <w:rPr>
          <w:rFonts w:ascii="Century Gothic" w:hAnsi="Century Gothic"/>
          <w:sz w:val="20"/>
          <w:szCs w:val="20"/>
        </w:rPr>
        <w:t xml:space="preserve">Sincerely, </w:t>
      </w:r>
    </w:p>
    <w:p w14:paraId="30F30D5F" w14:textId="77777777" w:rsidR="00B145A5" w:rsidRDefault="00B145A5" w:rsidP="00B145A5">
      <w:pPr>
        <w:pStyle w:val="NormalWeb"/>
      </w:pPr>
      <w:r>
        <w:rPr>
          <w:noProof/>
        </w:rPr>
        <w:drawing>
          <wp:inline distT="0" distB="0" distL="0" distR="0" wp14:anchorId="0CA4B024" wp14:editId="7D51F933">
            <wp:extent cx="2342834" cy="262646"/>
            <wp:effectExtent l="0" t="0" r="635" b="4445"/>
            <wp:docPr id="1250490206" name="Picture 1250490206" descr="A blue marker writing on a white surfa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marker writing on a white surface&#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5105" cy="265143"/>
                    </a:xfrm>
                    <a:prstGeom prst="rect">
                      <a:avLst/>
                    </a:prstGeom>
                    <a:noFill/>
                    <a:ln>
                      <a:noFill/>
                    </a:ln>
                  </pic:spPr>
                </pic:pic>
              </a:graphicData>
            </a:graphic>
          </wp:inline>
        </w:drawing>
      </w:r>
    </w:p>
    <w:p w14:paraId="7754D245" w14:textId="77777777" w:rsidR="00B145A5" w:rsidRDefault="00B145A5" w:rsidP="00B145A5">
      <w:pPr>
        <w:contextualSpacing/>
        <w:jc w:val="both"/>
        <w:rPr>
          <w:rFonts w:ascii="Century Gothic" w:hAnsi="Century Gothic"/>
          <w:sz w:val="20"/>
          <w:szCs w:val="20"/>
        </w:rPr>
      </w:pPr>
      <w:r>
        <w:rPr>
          <w:rFonts w:ascii="Century Gothic" w:hAnsi="Century Gothic"/>
          <w:sz w:val="20"/>
          <w:szCs w:val="20"/>
        </w:rPr>
        <w:t>Keegan Booth</w:t>
      </w:r>
    </w:p>
    <w:p w14:paraId="0C139C54" w14:textId="77777777" w:rsidR="00B145A5" w:rsidRDefault="00B145A5" w:rsidP="00B145A5">
      <w:pPr>
        <w:contextualSpacing/>
        <w:jc w:val="both"/>
        <w:rPr>
          <w:rFonts w:ascii="Century Gothic" w:hAnsi="Century Gothic"/>
          <w:sz w:val="20"/>
          <w:szCs w:val="20"/>
        </w:rPr>
      </w:pPr>
      <w:r>
        <w:rPr>
          <w:rFonts w:ascii="Century Gothic" w:hAnsi="Century Gothic"/>
          <w:sz w:val="20"/>
          <w:szCs w:val="20"/>
        </w:rPr>
        <w:t xml:space="preserve">Housing Development and Management Services Director </w:t>
      </w:r>
    </w:p>
    <w:p w14:paraId="6760EE59" w14:textId="77777777" w:rsidR="00B145A5" w:rsidRPr="00ED30F2" w:rsidRDefault="00B145A5" w:rsidP="00B145A5">
      <w:pPr>
        <w:contextualSpacing/>
        <w:jc w:val="both"/>
        <w:rPr>
          <w:rFonts w:ascii="Century Gothic" w:hAnsi="Century Gothic"/>
          <w:sz w:val="20"/>
          <w:szCs w:val="20"/>
        </w:rPr>
      </w:pPr>
      <w:r>
        <w:rPr>
          <w:rFonts w:ascii="Century Gothic" w:hAnsi="Century Gothic"/>
          <w:sz w:val="20"/>
          <w:szCs w:val="20"/>
        </w:rPr>
        <w:t>Frontier Community Services</w:t>
      </w:r>
    </w:p>
    <w:p w14:paraId="47B6A884" w14:textId="77777777" w:rsidR="00C631C8" w:rsidRDefault="00C631C8" w:rsidP="00C631C8">
      <w:pPr>
        <w:rPr>
          <w:rFonts w:ascii="Book Antiqua" w:hAnsi="Book Antiqua"/>
          <w:sz w:val="22"/>
          <w:szCs w:val="22"/>
        </w:rPr>
      </w:pPr>
    </w:p>
    <w:p w14:paraId="412D1F85" w14:textId="77777777" w:rsidR="00002F5F" w:rsidRDefault="00002F5F" w:rsidP="006D7D9D">
      <w:pPr>
        <w:rPr>
          <w:rFonts w:ascii="Book Antiqua" w:hAnsi="Book Antiqua"/>
          <w:sz w:val="22"/>
          <w:szCs w:val="22"/>
        </w:rPr>
      </w:pPr>
    </w:p>
    <w:p w14:paraId="7B1F0203" w14:textId="77777777" w:rsidR="00002F5F" w:rsidRDefault="00002F5F" w:rsidP="006D7D9D">
      <w:pPr>
        <w:rPr>
          <w:rFonts w:ascii="Book Antiqua" w:hAnsi="Book Antiqua"/>
          <w:sz w:val="22"/>
          <w:szCs w:val="22"/>
        </w:rPr>
      </w:pPr>
    </w:p>
    <w:p w14:paraId="6F9D1EFA" w14:textId="77777777" w:rsidR="005D3FCB" w:rsidRDefault="005D3FCB" w:rsidP="006D7D9D">
      <w:pPr>
        <w:rPr>
          <w:rFonts w:ascii="Book Antiqua" w:hAnsi="Book Antiqua"/>
          <w:sz w:val="22"/>
          <w:szCs w:val="22"/>
        </w:rPr>
      </w:pPr>
    </w:p>
    <w:p w14:paraId="79BA609E" w14:textId="77777777" w:rsidR="005D3FCB" w:rsidRDefault="005D3FCB" w:rsidP="006D7D9D">
      <w:pPr>
        <w:rPr>
          <w:rFonts w:ascii="Book Antiqua" w:hAnsi="Book Antiqua"/>
          <w:sz w:val="22"/>
          <w:szCs w:val="22"/>
        </w:rPr>
      </w:pPr>
    </w:p>
    <w:sectPr w:rsidR="005D3FCB" w:rsidSect="004424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8E0C5" w14:textId="77777777" w:rsidR="005B5740" w:rsidRDefault="005B5740" w:rsidP="00B25F16">
      <w:r>
        <w:separator/>
      </w:r>
    </w:p>
  </w:endnote>
  <w:endnote w:type="continuationSeparator" w:id="0">
    <w:p w14:paraId="70C45464" w14:textId="77777777" w:rsidR="005B5740" w:rsidRDefault="005B5740" w:rsidP="00B25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F0F90" w14:textId="77777777" w:rsidR="005B5740" w:rsidRDefault="005B5740" w:rsidP="00B25F16">
      <w:r>
        <w:separator/>
      </w:r>
    </w:p>
  </w:footnote>
  <w:footnote w:type="continuationSeparator" w:id="0">
    <w:p w14:paraId="294864E3" w14:textId="77777777" w:rsidR="005B5740" w:rsidRDefault="005B5740" w:rsidP="00B25F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622A7C"/>
    <w:multiLevelType w:val="hybridMultilevel"/>
    <w:tmpl w:val="E886E6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6A7008"/>
    <w:multiLevelType w:val="hybridMultilevel"/>
    <w:tmpl w:val="6136E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5BD1D0C"/>
    <w:multiLevelType w:val="hybridMultilevel"/>
    <w:tmpl w:val="652EF23C"/>
    <w:lvl w:ilvl="0" w:tplc="B948781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1943038">
    <w:abstractNumId w:val="2"/>
  </w:num>
  <w:num w:numId="2" w16cid:durableId="1897739704">
    <w:abstractNumId w:val="0"/>
  </w:num>
  <w:num w:numId="3" w16cid:durableId="6173724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evenAndOddHeaders/>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80D"/>
    <w:rsid w:val="00002F5F"/>
    <w:rsid w:val="00021280"/>
    <w:rsid w:val="00022738"/>
    <w:rsid w:val="00035A0A"/>
    <w:rsid w:val="000A1167"/>
    <w:rsid w:val="000A5172"/>
    <w:rsid w:val="000C0799"/>
    <w:rsid w:val="000C6440"/>
    <w:rsid w:val="000E1F66"/>
    <w:rsid w:val="000F7935"/>
    <w:rsid w:val="0010525E"/>
    <w:rsid w:val="00117E13"/>
    <w:rsid w:val="00133E34"/>
    <w:rsid w:val="001433AE"/>
    <w:rsid w:val="0014462E"/>
    <w:rsid w:val="00147F32"/>
    <w:rsid w:val="001526BD"/>
    <w:rsid w:val="001A4171"/>
    <w:rsid w:val="001C158B"/>
    <w:rsid w:val="001C69C8"/>
    <w:rsid w:val="001F2C02"/>
    <w:rsid w:val="00250754"/>
    <w:rsid w:val="002746B9"/>
    <w:rsid w:val="002A2CED"/>
    <w:rsid w:val="002C2645"/>
    <w:rsid w:val="002D234E"/>
    <w:rsid w:val="003161E0"/>
    <w:rsid w:val="003415F1"/>
    <w:rsid w:val="00341E6C"/>
    <w:rsid w:val="0034677A"/>
    <w:rsid w:val="00357308"/>
    <w:rsid w:val="003609A3"/>
    <w:rsid w:val="00370579"/>
    <w:rsid w:val="003801D3"/>
    <w:rsid w:val="00383F0F"/>
    <w:rsid w:val="00384746"/>
    <w:rsid w:val="003906BC"/>
    <w:rsid w:val="0039586B"/>
    <w:rsid w:val="00396D5E"/>
    <w:rsid w:val="003B672A"/>
    <w:rsid w:val="003E7F97"/>
    <w:rsid w:val="00426C84"/>
    <w:rsid w:val="0043158F"/>
    <w:rsid w:val="004424D1"/>
    <w:rsid w:val="00496FC8"/>
    <w:rsid w:val="004D4200"/>
    <w:rsid w:val="005830D0"/>
    <w:rsid w:val="005A35D0"/>
    <w:rsid w:val="005A4808"/>
    <w:rsid w:val="005B5740"/>
    <w:rsid w:val="005C3FE3"/>
    <w:rsid w:val="005D3FCB"/>
    <w:rsid w:val="005D5FCC"/>
    <w:rsid w:val="005E7E01"/>
    <w:rsid w:val="005F38BF"/>
    <w:rsid w:val="005F5E99"/>
    <w:rsid w:val="00604B3D"/>
    <w:rsid w:val="006761D2"/>
    <w:rsid w:val="00677AC1"/>
    <w:rsid w:val="006A0A05"/>
    <w:rsid w:val="006B4E4D"/>
    <w:rsid w:val="006D0594"/>
    <w:rsid w:val="006D7D9D"/>
    <w:rsid w:val="00702BA4"/>
    <w:rsid w:val="007673A6"/>
    <w:rsid w:val="00777FB6"/>
    <w:rsid w:val="00791BA8"/>
    <w:rsid w:val="007C5827"/>
    <w:rsid w:val="007D6497"/>
    <w:rsid w:val="007F0B98"/>
    <w:rsid w:val="00812F04"/>
    <w:rsid w:val="0081524C"/>
    <w:rsid w:val="008343A4"/>
    <w:rsid w:val="0085731D"/>
    <w:rsid w:val="008E26CA"/>
    <w:rsid w:val="009077A5"/>
    <w:rsid w:val="00931E39"/>
    <w:rsid w:val="0093680D"/>
    <w:rsid w:val="00937FCA"/>
    <w:rsid w:val="009455ED"/>
    <w:rsid w:val="00A07BAC"/>
    <w:rsid w:val="00A63DB4"/>
    <w:rsid w:val="00A82FB7"/>
    <w:rsid w:val="00AB5628"/>
    <w:rsid w:val="00AD1A21"/>
    <w:rsid w:val="00B06559"/>
    <w:rsid w:val="00B145A5"/>
    <w:rsid w:val="00B21924"/>
    <w:rsid w:val="00B25F16"/>
    <w:rsid w:val="00B266EF"/>
    <w:rsid w:val="00B26A26"/>
    <w:rsid w:val="00B45422"/>
    <w:rsid w:val="00B61BC5"/>
    <w:rsid w:val="00B71367"/>
    <w:rsid w:val="00B73FA3"/>
    <w:rsid w:val="00B76D30"/>
    <w:rsid w:val="00B86B2F"/>
    <w:rsid w:val="00BB13C9"/>
    <w:rsid w:val="00BE2AA4"/>
    <w:rsid w:val="00C10081"/>
    <w:rsid w:val="00C214FF"/>
    <w:rsid w:val="00C500C6"/>
    <w:rsid w:val="00C550AA"/>
    <w:rsid w:val="00C631C8"/>
    <w:rsid w:val="00C704B9"/>
    <w:rsid w:val="00C86ADE"/>
    <w:rsid w:val="00C90B03"/>
    <w:rsid w:val="00CA2A32"/>
    <w:rsid w:val="00CE0058"/>
    <w:rsid w:val="00CE1525"/>
    <w:rsid w:val="00D17AE6"/>
    <w:rsid w:val="00D275F6"/>
    <w:rsid w:val="00D51306"/>
    <w:rsid w:val="00D569C1"/>
    <w:rsid w:val="00D75916"/>
    <w:rsid w:val="00D95163"/>
    <w:rsid w:val="00DA0458"/>
    <w:rsid w:val="00DB41F1"/>
    <w:rsid w:val="00E05E35"/>
    <w:rsid w:val="00E1542E"/>
    <w:rsid w:val="00E54D38"/>
    <w:rsid w:val="00EA5C5C"/>
    <w:rsid w:val="00EB4FBC"/>
    <w:rsid w:val="00EE2414"/>
    <w:rsid w:val="00EF012A"/>
    <w:rsid w:val="00EF6087"/>
    <w:rsid w:val="00F1097D"/>
    <w:rsid w:val="00F14059"/>
    <w:rsid w:val="00F77EAB"/>
    <w:rsid w:val="00F971A6"/>
    <w:rsid w:val="00FA1210"/>
    <w:rsid w:val="00FA2CC1"/>
    <w:rsid w:val="00FB0B64"/>
    <w:rsid w:val="00FE3F97"/>
    <w:rsid w:val="00FF12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03E6C67"/>
  <w15:docId w15:val="{F82D579B-6C1F-4511-92A0-9F2D04B69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F1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B25F16"/>
    <w:rPr>
      <w:i/>
      <w:iCs/>
    </w:rPr>
  </w:style>
  <w:style w:type="paragraph" w:styleId="BalloonText">
    <w:name w:val="Balloon Text"/>
    <w:basedOn w:val="Normal"/>
    <w:link w:val="BalloonTextChar"/>
    <w:uiPriority w:val="99"/>
    <w:semiHidden/>
    <w:unhideWhenUsed/>
    <w:rsid w:val="00B25F16"/>
    <w:rPr>
      <w:rFonts w:ascii="Tahoma" w:hAnsi="Tahoma" w:cs="Tahoma"/>
      <w:sz w:val="16"/>
      <w:szCs w:val="16"/>
    </w:rPr>
  </w:style>
  <w:style w:type="character" w:customStyle="1" w:styleId="BalloonTextChar">
    <w:name w:val="Balloon Text Char"/>
    <w:basedOn w:val="DefaultParagraphFont"/>
    <w:link w:val="BalloonText"/>
    <w:uiPriority w:val="99"/>
    <w:semiHidden/>
    <w:rsid w:val="00B25F16"/>
    <w:rPr>
      <w:rFonts w:ascii="Tahoma" w:eastAsia="Times New Roman" w:hAnsi="Tahoma" w:cs="Tahoma"/>
      <w:sz w:val="16"/>
      <w:szCs w:val="16"/>
    </w:rPr>
  </w:style>
  <w:style w:type="paragraph" w:styleId="Header">
    <w:name w:val="header"/>
    <w:basedOn w:val="Normal"/>
    <w:link w:val="HeaderChar"/>
    <w:uiPriority w:val="99"/>
    <w:semiHidden/>
    <w:unhideWhenUsed/>
    <w:rsid w:val="00B25F16"/>
    <w:pPr>
      <w:tabs>
        <w:tab w:val="center" w:pos="4680"/>
        <w:tab w:val="right" w:pos="9360"/>
      </w:tabs>
    </w:pPr>
  </w:style>
  <w:style w:type="character" w:customStyle="1" w:styleId="HeaderChar">
    <w:name w:val="Header Char"/>
    <w:basedOn w:val="DefaultParagraphFont"/>
    <w:link w:val="Header"/>
    <w:uiPriority w:val="99"/>
    <w:semiHidden/>
    <w:rsid w:val="00B25F1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25F16"/>
    <w:pPr>
      <w:tabs>
        <w:tab w:val="center" w:pos="4680"/>
        <w:tab w:val="right" w:pos="9360"/>
      </w:tabs>
    </w:pPr>
  </w:style>
  <w:style w:type="character" w:customStyle="1" w:styleId="FooterChar">
    <w:name w:val="Footer Char"/>
    <w:basedOn w:val="DefaultParagraphFont"/>
    <w:link w:val="Footer"/>
    <w:uiPriority w:val="99"/>
    <w:rsid w:val="00B25F16"/>
    <w:rPr>
      <w:rFonts w:ascii="Times New Roman" w:eastAsia="Times New Roman" w:hAnsi="Times New Roman" w:cs="Times New Roman"/>
      <w:sz w:val="24"/>
      <w:szCs w:val="24"/>
    </w:rPr>
  </w:style>
  <w:style w:type="paragraph" w:styleId="ListParagraph">
    <w:name w:val="List Paragraph"/>
    <w:basedOn w:val="Normal"/>
    <w:uiPriority w:val="34"/>
    <w:qFormat/>
    <w:rsid w:val="002A2CED"/>
    <w:pPr>
      <w:ind w:left="720"/>
      <w:contextualSpacing/>
    </w:pPr>
  </w:style>
  <w:style w:type="character" w:styleId="Hyperlink">
    <w:name w:val="Hyperlink"/>
    <w:basedOn w:val="DefaultParagraphFont"/>
    <w:uiPriority w:val="99"/>
    <w:unhideWhenUsed/>
    <w:rsid w:val="009455ED"/>
    <w:rPr>
      <w:color w:val="0000FF" w:themeColor="hyperlink"/>
      <w:u w:val="single"/>
    </w:rPr>
  </w:style>
  <w:style w:type="paragraph" w:styleId="NormalWeb">
    <w:name w:val="Normal (Web)"/>
    <w:basedOn w:val="Normal"/>
    <w:uiPriority w:val="99"/>
    <w:semiHidden/>
    <w:unhideWhenUsed/>
    <w:rsid w:val="00B145A5"/>
    <w:pPr>
      <w:spacing w:before="100" w:beforeAutospacing="1" w:after="100" w:afterAutospacing="1"/>
    </w:pPr>
  </w:style>
  <w:style w:type="character" w:styleId="CommentReference">
    <w:name w:val="annotation reference"/>
    <w:basedOn w:val="DefaultParagraphFont"/>
    <w:uiPriority w:val="99"/>
    <w:semiHidden/>
    <w:unhideWhenUsed/>
    <w:rsid w:val="004D4200"/>
    <w:rPr>
      <w:sz w:val="16"/>
      <w:szCs w:val="16"/>
    </w:rPr>
  </w:style>
  <w:style w:type="paragraph" w:styleId="CommentText">
    <w:name w:val="annotation text"/>
    <w:basedOn w:val="Normal"/>
    <w:link w:val="CommentTextChar"/>
    <w:uiPriority w:val="99"/>
    <w:semiHidden/>
    <w:unhideWhenUsed/>
    <w:rsid w:val="004D4200"/>
    <w:rPr>
      <w:sz w:val="20"/>
      <w:szCs w:val="20"/>
    </w:rPr>
  </w:style>
  <w:style w:type="character" w:customStyle="1" w:styleId="CommentTextChar">
    <w:name w:val="Comment Text Char"/>
    <w:basedOn w:val="DefaultParagraphFont"/>
    <w:link w:val="CommentText"/>
    <w:uiPriority w:val="99"/>
    <w:semiHidden/>
    <w:rsid w:val="004D420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D4200"/>
    <w:rPr>
      <w:b/>
      <w:bCs/>
    </w:rPr>
  </w:style>
  <w:style w:type="character" w:customStyle="1" w:styleId="CommentSubjectChar">
    <w:name w:val="Comment Subject Char"/>
    <w:basedOn w:val="CommentTextChar"/>
    <w:link w:val="CommentSubject"/>
    <w:uiPriority w:val="99"/>
    <w:semiHidden/>
    <w:rsid w:val="004D4200"/>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099937">
      <w:bodyDiv w:val="1"/>
      <w:marLeft w:val="0"/>
      <w:marRight w:val="0"/>
      <w:marTop w:val="0"/>
      <w:marBottom w:val="0"/>
      <w:divBdr>
        <w:top w:val="none" w:sz="0" w:space="0" w:color="auto"/>
        <w:left w:val="none" w:sz="0" w:space="0" w:color="auto"/>
        <w:bottom w:val="none" w:sz="0" w:space="0" w:color="auto"/>
        <w:right w:val="none" w:sz="0" w:space="0" w:color="auto"/>
      </w:divBdr>
    </w:div>
    <w:div w:id="1735661261">
      <w:bodyDiv w:val="1"/>
      <w:marLeft w:val="0"/>
      <w:marRight w:val="0"/>
      <w:marTop w:val="0"/>
      <w:marBottom w:val="0"/>
      <w:divBdr>
        <w:top w:val="none" w:sz="0" w:space="0" w:color="auto"/>
        <w:left w:val="none" w:sz="0" w:space="0" w:color="auto"/>
        <w:bottom w:val="none" w:sz="0" w:space="0" w:color="auto"/>
        <w:right w:val="none" w:sz="0" w:space="0" w:color="auto"/>
      </w:divBdr>
    </w:div>
    <w:div w:id="204964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299</TotalTime>
  <Pages>3</Pages>
  <Words>872</Words>
  <Characters>4974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Rodney Siddons</dc:creator>
  <cp:lastModifiedBy>Keegan Booth</cp:lastModifiedBy>
  <cp:revision>5</cp:revision>
  <cp:lastPrinted>2021-07-06T15:08:00Z</cp:lastPrinted>
  <dcterms:created xsi:type="dcterms:W3CDTF">2025-07-28T20:53:00Z</dcterms:created>
  <dcterms:modified xsi:type="dcterms:W3CDTF">2025-07-29T19:17:00Z</dcterms:modified>
</cp:coreProperties>
</file>